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10E6" w14:textId="324D8018" w:rsidR="009249B2" w:rsidRPr="009249B2" w:rsidRDefault="00852FF7" w:rsidP="004726C9">
      <w:pPr>
        <w:pStyle w:val="Title"/>
        <w:spacing w:after="240"/>
        <w:rPr>
          <w:sz w:val="48"/>
          <w:szCs w:val="48"/>
        </w:rPr>
      </w:pPr>
      <w:r w:rsidRPr="009249B2">
        <w:rPr>
          <w:noProof/>
          <w:sz w:val="48"/>
          <w:szCs w:val="48"/>
          <w:lang w:eastAsia="en-GB"/>
        </w:rPr>
        <w:drawing>
          <wp:anchor distT="0" distB="0" distL="114300" distR="114300" simplePos="0" relativeHeight="251662336" behindDoc="1" locked="0" layoutInCell="1" allowOverlap="1" wp14:anchorId="0C658AAB" wp14:editId="4C215C87">
            <wp:simplePos x="0" y="0"/>
            <wp:positionH relativeFrom="column">
              <wp:posOffset>-52070</wp:posOffset>
            </wp:positionH>
            <wp:positionV relativeFrom="paragraph">
              <wp:posOffset>0</wp:posOffset>
            </wp:positionV>
            <wp:extent cx="437515" cy="437515"/>
            <wp:effectExtent l="0" t="0" r="635" b="635"/>
            <wp:wrapTight wrapText="bothSides">
              <wp:wrapPolygon edited="0">
                <wp:start x="0" y="0"/>
                <wp:lineTo x="0" y="20691"/>
                <wp:lineTo x="20691" y="20691"/>
                <wp:lineTo x="206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Symbols logo 500x500.png"/>
                    <pic:cNvPicPr/>
                  </pic:nvPicPr>
                  <pic:blipFill>
                    <a:blip r:embed="rId7">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14:sizeRelH relativeFrom="margin">
              <wp14:pctWidth>0</wp14:pctWidth>
            </wp14:sizeRelH>
            <wp14:sizeRelV relativeFrom="margin">
              <wp14:pctHeight>0</wp14:pctHeight>
            </wp14:sizeRelV>
          </wp:anchor>
        </w:drawing>
      </w:r>
      <w:r w:rsidRPr="009249B2">
        <w:rPr>
          <w:sz w:val="48"/>
          <w:szCs w:val="48"/>
        </w:rPr>
        <w:t>Global Symbols</w:t>
      </w:r>
      <w:r w:rsidR="009249B2" w:rsidRPr="009249B2">
        <w:rPr>
          <w:sz w:val="48"/>
          <w:szCs w:val="48"/>
        </w:rPr>
        <w:t xml:space="preserve">                                                                        </w:t>
      </w:r>
    </w:p>
    <w:p w14:paraId="1714E374" w14:textId="25B5C18A" w:rsidR="0008321F" w:rsidRDefault="0008321F" w:rsidP="0008321F">
      <w:pPr>
        <w:pStyle w:val="Heading1"/>
        <w:rPr>
          <w:bCs/>
        </w:rPr>
      </w:pPr>
      <w:r w:rsidRPr="007707F4">
        <w:rPr>
          <w:bCs/>
        </w:rPr>
        <w:t xml:space="preserve">AAC Symbol </w:t>
      </w:r>
      <w:r>
        <w:rPr>
          <w:bCs/>
        </w:rPr>
        <w:t xml:space="preserve">Forum </w:t>
      </w:r>
      <w:r w:rsidRPr="007707F4">
        <w:rPr>
          <w:bCs/>
        </w:rPr>
        <w:t>Voting Sessions</w:t>
      </w:r>
    </w:p>
    <w:p w14:paraId="1766A412" w14:textId="77777777" w:rsidR="0008321F" w:rsidRPr="00466ED1" w:rsidRDefault="0008321F" w:rsidP="0008321F">
      <w:pPr>
        <w:rPr>
          <w:lang w:val="en-US"/>
        </w:rPr>
      </w:pPr>
      <w:r>
        <w:rPr>
          <w:lang w:val="en-US"/>
        </w:rPr>
        <w:t xml:space="preserve">These voting sessions usually take place with groups of therapists, specialist teachers, others working with AAC users (the AAC Forum) and on occasions the graphic designer.   The graphic designer and core team will have worked on the initial design and early acceptance of the new symbols prior to the workshop.  This can happen remotely by using the voting system independently of the AAC Forum. </w:t>
      </w:r>
    </w:p>
    <w:p w14:paraId="57B11297" w14:textId="77777777" w:rsidR="0008321F" w:rsidRDefault="0008321F" w:rsidP="0008321F">
      <w:pPr>
        <w:pStyle w:val="Heading2"/>
      </w:pPr>
      <w:r>
        <w:t>Materials Required:</w:t>
      </w:r>
    </w:p>
    <w:p w14:paraId="3F2312B5" w14:textId="77777777" w:rsidR="0008321F" w:rsidRDefault="0008321F" w:rsidP="0008321F">
      <w:pPr>
        <w:pStyle w:val="ListParagraph"/>
        <w:numPr>
          <w:ilvl w:val="0"/>
          <w:numId w:val="23"/>
        </w:numPr>
        <w:spacing w:before="0" w:after="200" w:line="276" w:lineRule="auto"/>
        <w:ind w:left="1434" w:hanging="357"/>
        <w:contextualSpacing w:val="0"/>
      </w:pPr>
      <w:r w:rsidRPr="00057F2D">
        <w:rPr>
          <w:noProof/>
          <w:lang w:eastAsia="en-GB"/>
        </w:rPr>
        <w:drawing>
          <wp:anchor distT="0" distB="0" distL="114300" distR="114300" simplePos="0" relativeHeight="251665408" behindDoc="1" locked="0" layoutInCell="1" allowOverlap="1" wp14:anchorId="6B11A44A" wp14:editId="1ED89ECD">
            <wp:simplePos x="0" y="0"/>
            <wp:positionH relativeFrom="column">
              <wp:posOffset>61913</wp:posOffset>
            </wp:positionH>
            <wp:positionV relativeFrom="paragraph">
              <wp:posOffset>80328</wp:posOffset>
            </wp:positionV>
            <wp:extent cx="2819400" cy="2114550"/>
            <wp:effectExtent l="0" t="0" r="0" b="0"/>
            <wp:wrapTight wrapText="bothSides">
              <wp:wrapPolygon edited="0">
                <wp:start x="0" y="0"/>
                <wp:lineTo x="0" y="21405"/>
                <wp:lineTo x="21454" y="21405"/>
                <wp:lineTo x="21454" y="0"/>
                <wp:lineTo x="0" y="0"/>
              </wp:wrapPolygon>
            </wp:wrapTight>
            <wp:docPr id="3" name="Picture 3" descr="C:\Users\User\Google Drive\Globalsymbols\Mada Center work\Arabic symbol dictionary\Voting for symbols\Ma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Drive\Globalsymbols\Mada Center work\Arabic symbol dictionary\Voting for symbols\Mada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t>Presentation slides with a projector and/or computer link up</w:t>
      </w:r>
    </w:p>
    <w:p w14:paraId="3F917A27" w14:textId="77777777" w:rsidR="0008321F" w:rsidRDefault="0008321F" w:rsidP="0008321F">
      <w:pPr>
        <w:pStyle w:val="ListParagraph"/>
        <w:numPr>
          <w:ilvl w:val="0"/>
          <w:numId w:val="23"/>
        </w:numPr>
        <w:spacing w:before="0" w:after="200" w:line="276" w:lineRule="auto"/>
        <w:ind w:left="1434" w:hanging="357"/>
        <w:contextualSpacing w:val="0"/>
      </w:pPr>
      <w:r>
        <w:t xml:space="preserve">Batch of symbols that have been uploaded to the symbol voting system (web link) or available on the presentation slides. </w:t>
      </w:r>
    </w:p>
    <w:p w14:paraId="4B08002F" w14:textId="77777777" w:rsidR="0008321F" w:rsidRDefault="0008321F" w:rsidP="0008321F">
      <w:pPr>
        <w:pStyle w:val="ListParagraph"/>
        <w:numPr>
          <w:ilvl w:val="0"/>
          <w:numId w:val="23"/>
        </w:numPr>
        <w:spacing w:before="0" w:after="200" w:line="276" w:lineRule="auto"/>
        <w:ind w:left="1434" w:hanging="357"/>
        <w:contextualSpacing w:val="0"/>
      </w:pPr>
      <w:r>
        <w:t xml:space="preserve">User laptops/tablets with access to the internet and the voting system or paper based score sheets. </w:t>
      </w:r>
    </w:p>
    <w:p w14:paraId="0CFBF8FF" w14:textId="77777777" w:rsidR="0008321F" w:rsidRDefault="0008321F" w:rsidP="0008321F">
      <w:pPr>
        <w:pStyle w:val="ListParagraph"/>
        <w:numPr>
          <w:ilvl w:val="0"/>
          <w:numId w:val="23"/>
        </w:numPr>
        <w:spacing w:before="0" w:after="200" w:line="276" w:lineRule="auto"/>
        <w:ind w:left="1434" w:hanging="357"/>
        <w:contextualSpacing w:val="0"/>
      </w:pPr>
      <w:r>
        <w:t xml:space="preserve">Workshop attendance sheet to confirm emails and signatures if required. </w:t>
      </w:r>
    </w:p>
    <w:p w14:paraId="398C1405" w14:textId="77777777" w:rsidR="0008321F" w:rsidRDefault="0008321F" w:rsidP="0008321F">
      <w:pPr>
        <w:pStyle w:val="ListParagraph"/>
        <w:numPr>
          <w:ilvl w:val="0"/>
          <w:numId w:val="23"/>
        </w:numPr>
        <w:spacing w:before="0" w:after="200" w:line="276" w:lineRule="auto"/>
        <w:ind w:left="1434" w:hanging="357"/>
        <w:contextualSpacing w:val="0"/>
      </w:pPr>
      <w:r>
        <w:t>Consent forms if you want to use photographs/video/audio to disseminate the work.</w:t>
      </w:r>
    </w:p>
    <w:p w14:paraId="4DE8E54C" w14:textId="77777777" w:rsidR="0008321F" w:rsidRDefault="0008321F" w:rsidP="0008321F">
      <w:pPr>
        <w:pStyle w:val="ListParagraph"/>
      </w:pPr>
    </w:p>
    <w:p w14:paraId="7AB17A82" w14:textId="77777777" w:rsidR="0008321F" w:rsidRDefault="0008321F" w:rsidP="0008321F">
      <w:pPr>
        <w:pStyle w:val="Heading2"/>
      </w:pPr>
      <w:r>
        <w:t>Set up:</w:t>
      </w:r>
    </w:p>
    <w:p w14:paraId="05B5CEA2" w14:textId="77777777" w:rsidR="0008321F" w:rsidRDefault="0008321F" w:rsidP="0008321F">
      <w:pPr>
        <w:pStyle w:val="ListParagraph"/>
        <w:numPr>
          <w:ilvl w:val="0"/>
          <w:numId w:val="24"/>
        </w:numPr>
        <w:spacing w:before="0" w:after="200" w:line="276" w:lineRule="auto"/>
        <w:ind w:left="714" w:hanging="357"/>
        <w:contextualSpacing w:val="0"/>
      </w:pPr>
      <w:r>
        <w:t>Explain the project background, purpose of the voting session and introduce the symbol voting interface to participants</w:t>
      </w:r>
    </w:p>
    <w:p w14:paraId="2AC4C4A4" w14:textId="77777777" w:rsidR="0008321F" w:rsidRDefault="0008321F" w:rsidP="0008321F">
      <w:pPr>
        <w:pStyle w:val="ListParagraph"/>
        <w:numPr>
          <w:ilvl w:val="0"/>
          <w:numId w:val="24"/>
        </w:numPr>
        <w:spacing w:before="0" w:after="200" w:line="276" w:lineRule="auto"/>
        <w:ind w:left="714" w:hanging="357"/>
        <w:contextualSpacing w:val="0"/>
      </w:pPr>
      <w:r>
        <w:t xml:space="preserve">Explain consent related issues for those present and when visiting AAC users who will be voting (i.e. is the family/individual happy for video/audio to be used for recording, research and/or dissemination purposes). </w:t>
      </w:r>
    </w:p>
    <w:p w14:paraId="59B88C5C" w14:textId="77777777" w:rsidR="0008321F" w:rsidRDefault="0008321F" w:rsidP="0008321F">
      <w:pPr>
        <w:pStyle w:val="ListParagraph"/>
        <w:numPr>
          <w:ilvl w:val="0"/>
          <w:numId w:val="24"/>
        </w:numPr>
        <w:spacing w:before="0" w:after="200" w:line="276" w:lineRule="auto"/>
        <w:ind w:left="714" w:hanging="357"/>
        <w:contextualSpacing w:val="0"/>
      </w:pPr>
      <w:r>
        <w:lastRenderedPageBreak/>
        <w:t xml:space="preserve">Meanwhile attendance and/or consent forms are passed around where required. </w:t>
      </w:r>
    </w:p>
    <w:p w14:paraId="17ED9BE3" w14:textId="77777777" w:rsidR="0008321F" w:rsidRDefault="0008321F" w:rsidP="0008321F">
      <w:pPr>
        <w:pStyle w:val="ListParagraph"/>
        <w:numPr>
          <w:ilvl w:val="0"/>
          <w:numId w:val="24"/>
        </w:numPr>
        <w:spacing w:before="0" w:after="200" w:line="276" w:lineRule="auto"/>
        <w:ind w:left="714" w:hanging="357"/>
        <w:contextualSpacing w:val="0"/>
      </w:pPr>
      <w:r>
        <w:t xml:space="preserve">Set up camera or audio  as appropriate (if participants do not wish to have their faces portrayed on film, then position camera over shoulder, so that only the voting screen is clearly visible and the user is not </w:t>
      </w:r>
      <w:r w:rsidRPr="00653C04">
        <w:t>recognisable</w:t>
      </w:r>
      <w:r>
        <w:t>).</w:t>
      </w:r>
    </w:p>
    <w:p w14:paraId="11820D9D" w14:textId="77777777" w:rsidR="0008321F" w:rsidRDefault="0008321F" w:rsidP="0008321F">
      <w:pPr>
        <w:pStyle w:val="ListParagraph"/>
        <w:numPr>
          <w:ilvl w:val="0"/>
          <w:numId w:val="24"/>
        </w:numPr>
        <w:spacing w:before="0" w:after="200" w:line="276" w:lineRule="auto"/>
        <w:ind w:left="714" w:hanging="357"/>
        <w:contextualSpacing w:val="0"/>
      </w:pPr>
      <w:r>
        <w:t xml:space="preserve">Establish a protocol for making comments about the symbols as they are shown. Make sure everyone is involved where possible.  </w:t>
      </w:r>
    </w:p>
    <w:p w14:paraId="4550F1B6" w14:textId="77777777" w:rsidR="0008321F" w:rsidRDefault="0008321F" w:rsidP="0008321F">
      <w:pPr>
        <w:pStyle w:val="Heading2"/>
      </w:pPr>
      <w:r>
        <w:t>Voting:</w:t>
      </w:r>
    </w:p>
    <w:p w14:paraId="4D55BD5D" w14:textId="77777777" w:rsidR="0008321F" w:rsidRDefault="0008321F" w:rsidP="0008321F">
      <w:pPr>
        <w:pStyle w:val="ListParagraph"/>
        <w:numPr>
          <w:ilvl w:val="0"/>
          <w:numId w:val="25"/>
        </w:numPr>
        <w:spacing w:before="0" w:after="200" w:line="276" w:lineRule="auto"/>
        <w:contextualSpacing w:val="0"/>
      </w:pPr>
      <w:r>
        <w:t xml:space="preserve">Explain the key features of the symbol voting grid, making sure the reasons for voting in favour or against a particular symbol are clear and the Likert scale is understood e.g. </w:t>
      </w:r>
    </w:p>
    <w:p w14:paraId="6D4E885A" w14:textId="77777777" w:rsidR="0008321F" w:rsidRDefault="0008321F" w:rsidP="0008321F">
      <w:pPr>
        <w:pStyle w:val="ListParagraph"/>
        <w:numPr>
          <w:ilvl w:val="1"/>
          <w:numId w:val="25"/>
        </w:numPr>
        <w:spacing w:before="0" w:after="200" w:line="276" w:lineRule="auto"/>
        <w:contextualSpacing w:val="0"/>
      </w:pPr>
      <w:r>
        <w:t xml:space="preserve">feelings about the symbol as a whole (immediate reaction, iconicity, transparency, ease of recognition) </w:t>
      </w:r>
    </w:p>
    <w:p w14:paraId="78D1D04A" w14:textId="77777777" w:rsidR="0008321F" w:rsidRDefault="0008321F" w:rsidP="0008321F">
      <w:pPr>
        <w:pStyle w:val="ListParagraph"/>
        <w:numPr>
          <w:ilvl w:val="1"/>
          <w:numId w:val="25"/>
        </w:numPr>
        <w:spacing w:before="0" w:after="200" w:line="276" w:lineRule="auto"/>
        <w:contextualSpacing w:val="0"/>
      </w:pPr>
      <w:r>
        <w:t>represents the word or phrase (referent/concept)</w:t>
      </w:r>
    </w:p>
    <w:p w14:paraId="2430A0CB" w14:textId="77777777" w:rsidR="0008321F" w:rsidRDefault="0008321F" w:rsidP="0008321F">
      <w:pPr>
        <w:pStyle w:val="ListParagraph"/>
        <w:numPr>
          <w:ilvl w:val="1"/>
          <w:numId w:val="25"/>
        </w:numPr>
        <w:spacing w:before="0" w:after="200" w:line="276" w:lineRule="auto"/>
        <w:contextualSpacing w:val="0"/>
      </w:pPr>
      <w:r>
        <w:t>colour contrast (outline and colours used for clarity and visually impaired)</w:t>
      </w:r>
    </w:p>
    <w:p w14:paraId="78955399" w14:textId="3E8E9578" w:rsidR="0008321F" w:rsidRDefault="0008321F" w:rsidP="0008321F">
      <w:pPr>
        <w:pStyle w:val="ListParagraph"/>
        <w:numPr>
          <w:ilvl w:val="1"/>
          <w:numId w:val="25"/>
        </w:numPr>
        <w:spacing w:before="0" w:after="200" w:line="276" w:lineRule="auto"/>
        <w:contextualSpacing w:val="0"/>
      </w:pPr>
      <w:r>
        <w:t>cultural sensitivity (</w:t>
      </w:r>
      <w:r w:rsidR="00A40302">
        <w:t>not liable to offend</w:t>
      </w:r>
      <w:r w:rsidR="00A40302">
        <w:t xml:space="preserve">, </w:t>
      </w:r>
      <w:bookmarkStart w:id="0" w:name="_GoBack"/>
      <w:bookmarkEnd w:id="0"/>
      <w:r>
        <w:t xml:space="preserve">appropriate and relevant) and </w:t>
      </w:r>
    </w:p>
    <w:p w14:paraId="2607C80A" w14:textId="080CAEB2" w:rsidR="0008321F" w:rsidRDefault="0008321F" w:rsidP="00A435BA">
      <w:pPr>
        <w:pStyle w:val="ListParagraph"/>
        <w:numPr>
          <w:ilvl w:val="1"/>
          <w:numId w:val="25"/>
        </w:numPr>
        <w:spacing w:before="0" w:after="200" w:line="276" w:lineRule="auto"/>
        <w:contextualSpacing w:val="0"/>
      </w:pPr>
      <w:r>
        <w:t xml:space="preserve">general comments not mentioned in the list above, such as size or background etc. </w:t>
      </w:r>
    </w:p>
    <w:p w14:paraId="1391F69C" w14:textId="6996A31A" w:rsidR="0008321F" w:rsidRDefault="0008321F" w:rsidP="0008321F">
      <w:pPr>
        <w:pStyle w:val="ListParagraph"/>
        <w:numPr>
          <w:ilvl w:val="0"/>
          <w:numId w:val="25"/>
        </w:numPr>
        <w:tabs>
          <w:tab w:val="left" w:pos="4395"/>
        </w:tabs>
        <w:spacing w:before="0" w:after="200" w:line="276" w:lineRule="auto"/>
        <w:contextualSpacing w:val="0"/>
      </w:pPr>
      <w:r>
        <w:rPr>
          <w:noProof/>
          <w:lang w:eastAsia="en-GB"/>
        </w:rPr>
        <w:drawing>
          <wp:anchor distT="0" distB="0" distL="114300" distR="114300" simplePos="0" relativeHeight="251664384" behindDoc="1" locked="0" layoutInCell="1" allowOverlap="1" wp14:anchorId="7750D1F2" wp14:editId="0A4D375D">
            <wp:simplePos x="0" y="0"/>
            <wp:positionH relativeFrom="column">
              <wp:posOffset>203200</wp:posOffset>
            </wp:positionH>
            <wp:positionV relativeFrom="paragraph">
              <wp:posOffset>43285</wp:posOffset>
            </wp:positionV>
            <wp:extent cx="2257425" cy="2122170"/>
            <wp:effectExtent l="0" t="0" r="9525" b="0"/>
            <wp:wrapTight wrapText="bothSides">
              <wp:wrapPolygon edited="0">
                <wp:start x="0" y="0"/>
                <wp:lineTo x="0" y="21329"/>
                <wp:lineTo x="21509" y="21329"/>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eep croatian and serbi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2122170"/>
                    </a:xfrm>
                    <a:prstGeom prst="rect">
                      <a:avLst/>
                    </a:prstGeom>
                  </pic:spPr>
                </pic:pic>
              </a:graphicData>
            </a:graphic>
            <wp14:sizeRelH relativeFrom="page">
              <wp14:pctWidth>0</wp14:pctWidth>
            </wp14:sizeRelH>
            <wp14:sizeRelV relativeFrom="page">
              <wp14:pctHeight>0</wp14:pctHeight>
            </wp14:sizeRelV>
          </wp:anchor>
        </w:drawing>
      </w:r>
      <w:r>
        <w:t xml:space="preserve">As the first Symbol appears, state the intended meaning of the symbol to the participants and ask how well this symbol represents the concept, indicated by choosing five voting options (1-5). </w:t>
      </w:r>
    </w:p>
    <w:p w14:paraId="61AE8361" w14:textId="77777777" w:rsidR="0008321F" w:rsidRDefault="0008321F" w:rsidP="0008321F">
      <w:pPr>
        <w:pStyle w:val="ListParagraph"/>
        <w:numPr>
          <w:ilvl w:val="0"/>
          <w:numId w:val="25"/>
        </w:numPr>
        <w:spacing w:before="0" w:after="200" w:line="276" w:lineRule="auto"/>
        <w:contextualSpacing w:val="0"/>
      </w:pPr>
      <w:r>
        <w:t xml:space="preserve">Once a choice is made, confirm comments have been added to the free text area, then select submit. </w:t>
      </w:r>
    </w:p>
    <w:p w14:paraId="7EF30FBA" w14:textId="77777777" w:rsidR="0008321F" w:rsidRDefault="0008321F" w:rsidP="0008321F">
      <w:pPr>
        <w:pStyle w:val="ListParagraph"/>
        <w:numPr>
          <w:ilvl w:val="0"/>
          <w:numId w:val="25"/>
        </w:numPr>
        <w:spacing w:before="0" w:after="200" w:line="276" w:lineRule="auto"/>
        <w:contextualSpacing w:val="0"/>
      </w:pPr>
      <w:r>
        <w:t xml:space="preserve">Continue to the next symbol </w:t>
      </w:r>
    </w:p>
    <w:p w14:paraId="4DAF5D90" w14:textId="77777777" w:rsidR="0008321F" w:rsidRDefault="0008321F" w:rsidP="0008321F">
      <w:pPr>
        <w:pStyle w:val="ListParagraph"/>
        <w:numPr>
          <w:ilvl w:val="0"/>
          <w:numId w:val="25"/>
        </w:numPr>
        <w:spacing w:before="0" w:after="200" w:line="276" w:lineRule="auto"/>
        <w:contextualSpacing w:val="0"/>
      </w:pPr>
      <w:r>
        <w:t>Repeat the steps until all the symbols in the batch have been voted on (it may take two or three votes to establish clarity).</w:t>
      </w:r>
    </w:p>
    <w:p w14:paraId="5BA5350D" w14:textId="77777777" w:rsidR="0008321F" w:rsidRDefault="0008321F" w:rsidP="0008321F">
      <w:pPr>
        <w:pStyle w:val="Heading2"/>
      </w:pPr>
      <w:r>
        <w:lastRenderedPageBreak/>
        <w:t>After the workshop</w:t>
      </w:r>
    </w:p>
    <w:p w14:paraId="6BF12875" w14:textId="77777777" w:rsidR="0008321F" w:rsidRDefault="0008321F" w:rsidP="0008321F">
      <w:pPr>
        <w:pStyle w:val="ListParagraph"/>
        <w:numPr>
          <w:ilvl w:val="0"/>
          <w:numId w:val="32"/>
        </w:numPr>
        <w:spacing w:before="0" w:after="200" w:line="276" w:lineRule="auto"/>
        <w:ind w:left="714" w:hanging="357"/>
        <w:contextualSpacing w:val="0"/>
      </w:pPr>
      <w:r>
        <w:t xml:space="preserve">Gather results from online voting / upload paper based results </w:t>
      </w:r>
    </w:p>
    <w:p w14:paraId="1DAA108F" w14:textId="77777777" w:rsidR="0008321F" w:rsidRDefault="0008321F" w:rsidP="0008321F">
      <w:pPr>
        <w:pStyle w:val="ListParagraph"/>
        <w:numPr>
          <w:ilvl w:val="0"/>
          <w:numId w:val="32"/>
        </w:numPr>
        <w:spacing w:before="0" w:after="200" w:line="276" w:lineRule="auto"/>
        <w:ind w:left="714" w:hanging="357"/>
        <w:contextualSpacing w:val="0"/>
      </w:pPr>
      <w:r>
        <w:t xml:space="preserve">All symbols that receive 3.5 on average or below will probably need redesigning based on the comments received </w:t>
      </w:r>
    </w:p>
    <w:p w14:paraId="204A01C3" w14:textId="77777777" w:rsidR="0008321F" w:rsidRDefault="0008321F" w:rsidP="0008321F">
      <w:pPr>
        <w:pStyle w:val="ListParagraph"/>
        <w:numPr>
          <w:ilvl w:val="0"/>
          <w:numId w:val="32"/>
        </w:numPr>
        <w:spacing w:before="0" w:after="200" w:line="276" w:lineRule="auto"/>
        <w:ind w:left="714" w:hanging="357"/>
        <w:contextualSpacing w:val="0"/>
      </w:pPr>
      <w:r>
        <w:t xml:space="preserve">Report back to participants with a summary of the results </w:t>
      </w:r>
    </w:p>
    <w:p w14:paraId="52325813" w14:textId="77777777" w:rsidR="0008321F" w:rsidRDefault="0008321F" w:rsidP="0008321F">
      <w:pPr>
        <w:pStyle w:val="ListParagraph"/>
        <w:numPr>
          <w:ilvl w:val="0"/>
          <w:numId w:val="32"/>
        </w:numPr>
        <w:spacing w:before="0" w:after="200" w:line="276" w:lineRule="auto"/>
        <w:ind w:left="714" w:hanging="357"/>
        <w:contextualSpacing w:val="0"/>
      </w:pPr>
      <w:r>
        <w:t xml:space="preserve">Keep participants in touch with the work and plan follow up batches for the next set of new symbols and those that need redesigning. </w:t>
      </w:r>
    </w:p>
    <w:p w14:paraId="7069C09E" w14:textId="77777777" w:rsidR="0008321F" w:rsidRPr="00E5316E" w:rsidRDefault="0008321F" w:rsidP="0008321F">
      <w:pPr>
        <w:pStyle w:val="ListParagraph"/>
        <w:numPr>
          <w:ilvl w:val="0"/>
          <w:numId w:val="32"/>
        </w:numPr>
        <w:spacing w:before="0" w:after="200" w:line="276" w:lineRule="auto"/>
        <w:ind w:left="714" w:hanging="357"/>
        <w:contextualSpacing w:val="0"/>
      </w:pPr>
      <w:r w:rsidRPr="00E5316E">
        <w:t xml:space="preserve">Up to around 60 symbols can be voted </w:t>
      </w:r>
      <w:r>
        <w:t>on during a</w:t>
      </w:r>
      <w:r w:rsidRPr="00E5316E">
        <w:t xml:space="preserve"> two </w:t>
      </w:r>
      <w:r>
        <w:t xml:space="preserve">hour face to face workshop once participants have become used to the system. It is also possible to set up remote session so that participants can carry out the voting in their own time. </w:t>
      </w:r>
    </w:p>
    <w:p w14:paraId="240F66EF" w14:textId="77777777" w:rsidR="0008321F" w:rsidRPr="000C7631" w:rsidRDefault="0008321F" w:rsidP="0008321F">
      <w:pPr>
        <w:pStyle w:val="ListParagraph"/>
      </w:pPr>
    </w:p>
    <w:p w14:paraId="7DECAA46" w14:textId="77777777" w:rsidR="0008321F" w:rsidRDefault="0008321F" w:rsidP="0008321F">
      <w:pPr>
        <w:pStyle w:val="ListParagraph"/>
      </w:pPr>
    </w:p>
    <w:p w14:paraId="7B4D3C42" w14:textId="77777777" w:rsidR="0008321F" w:rsidRPr="00E5316E" w:rsidRDefault="0008321F" w:rsidP="0008321F">
      <w:pPr>
        <w:rPr>
          <w:lang w:val="en-US"/>
        </w:rPr>
      </w:pPr>
    </w:p>
    <w:p w14:paraId="5D0DA17E" w14:textId="77777777" w:rsidR="0008321F" w:rsidRPr="00AB0B7E" w:rsidRDefault="0008321F" w:rsidP="0008321F"/>
    <w:p w14:paraId="6EF93FCE" w14:textId="77777777" w:rsidR="0008321F" w:rsidRDefault="0008321F" w:rsidP="0008321F"/>
    <w:p w14:paraId="7324FCD1" w14:textId="77777777" w:rsidR="0094124A" w:rsidRPr="00E652DB" w:rsidRDefault="0094124A" w:rsidP="004726C9">
      <w:pPr>
        <w:spacing w:after="240"/>
      </w:pPr>
    </w:p>
    <w:sectPr w:rsidR="0094124A" w:rsidRPr="00E652DB" w:rsidSect="00852FF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5AF23" w14:textId="77777777" w:rsidR="005E00A6" w:rsidRDefault="005E00A6">
      <w:pPr>
        <w:spacing w:line="240" w:lineRule="auto"/>
      </w:pPr>
      <w:r>
        <w:separator/>
      </w:r>
    </w:p>
  </w:endnote>
  <w:endnote w:type="continuationSeparator" w:id="0">
    <w:p w14:paraId="761DD6D5" w14:textId="77777777" w:rsidR="005E00A6" w:rsidRDefault="005E00A6">
      <w:pPr>
        <w:spacing w:line="240" w:lineRule="auto"/>
      </w:pPr>
      <w:r>
        <w:continuationSeparator/>
      </w:r>
    </w:p>
  </w:endnote>
  <w:endnote w:type="continuationNotice" w:id="1">
    <w:p w14:paraId="12A4F79B" w14:textId="77777777" w:rsidR="005E00A6" w:rsidRDefault="005E00A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E4B4C" w14:textId="77777777" w:rsidR="005E00A6" w:rsidRDefault="005E00A6">
      <w:pPr>
        <w:spacing w:line="240" w:lineRule="auto"/>
      </w:pPr>
      <w:r>
        <w:separator/>
      </w:r>
    </w:p>
  </w:footnote>
  <w:footnote w:type="continuationSeparator" w:id="0">
    <w:p w14:paraId="71903995" w14:textId="77777777" w:rsidR="005E00A6" w:rsidRDefault="005E00A6">
      <w:pPr>
        <w:spacing w:line="240" w:lineRule="auto"/>
      </w:pPr>
      <w:r>
        <w:continuationSeparator/>
      </w:r>
    </w:p>
  </w:footnote>
  <w:footnote w:type="continuationNotice" w:id="1">
    <w:p w14:paraId="5E3AB056" w14:textId="77777777" w:rsidR="005E00A6" w:rsidRDefault="005E00A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924F6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3303BE"/>
    <w:multiLevelType w:val="hybridMultilevel"/>
    <w:tmpl w:val="8222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7033F"/>
    <w:multiLevelType w:val="hybridMultilevel"/>
    <w:tmpl w:val="BB5E8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90BAC"/>
    <w:multiLevelType w:val="hybridMultilevel"/>
    <w:tmpl w:val="9A66CB8C"/>
    <w:lvl w:ilvl="0" w:tplc="0409000F">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4" w15:restartNumberingAfterBreak="0">
    <w:nsid w:val="62FF1F4F"/>
    <w:multiLevelType w:val="hybridMultilevel"/>
    <w:tmpl w:val="B5DEA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4C77C6"/>
    <w:multiLevelType w:val="multilevel"/>
    <w:tmpl w:val="CA22F672"/>
    <w:lvl w:ilvl="0">
      <w:start w:val="1"/>
      <w:numFmt w:val="decimal"/>
      <w:pStyle w:val="ListNumber"/>
      <w:lvlText w:val="%1."/>
      <w:lvlJc w:val="left"/>
      <w:pPr>
        <w:ind w:left="792" w:hanging="360"/>
      </w:pPr>
      <w:rPr>
        <w:rFonts w:hint="default"/>
        <w:b/>
        <w:color w:val="206EB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8"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7"/>
  </w:num>
  <w:num w:numId="4">
    <w:abstractNumId w:val="17"/>
    <w:lvlOverride w:ilvl="0">
      <w:startOverride w:val="1"/>
    </w:lvlOverride>
  </w:num>
  <w:num w:numId="5">
    <w:abstractNumId w:val="8"/>
  </w:num>
  <w:num w:numId="6">
    <w:abstractNumId w:val="17"/>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9"/>
  </w:num>
  <w:num w:numId="21">
    <w:abstractNumId w:val="16"/>
  </w:num>
  <w:num w:numId="22">
    <w:abstractNumId w:val="15"/>
  </w:num>
  <w:num w:numId="23">
    <w:abstractNumId w:val="13"/>
  </w:num>
  <w:num w:numId="24">
    <w:abstractNumId w:val="10"/>
  </w:num>
  <w:num w:numId="25">
    <w:abstractNumId w:val="12"/>
  </w:num>
  <w:num w:numId="26">
    <w:abstractNumId w:val="8"/>
  </w:num>
  <w:num w:numId="27">
    <w:abstractNumId w:val="17"/>
  </w:num>
  <w:num w:numId="28">
    <w:abstractNumId w:val="8"/>
  </w:num>
  <w:num w:numId="29">
    <w:abstractNumId w:val="17"/>
  </w:num>
  <w:num w:numId="30">
    <w:abstractNumId w:val="8"/>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AA"/>
    <w:rsid w:val="00007533"/>
    <w:rsid w:val="000150E9"/>
    <w:rsid w:val="00030E3C"/>
    <w:rsid w:val="000318F2"/>
    <w:rsid w:val="00041A11"/>
    <w:rsid w:val="00045290"/>
    <w:rsid w:val="0004645E"/>
    <w:rsid w:val="00046D38"/>
    <w:rsid w:val="00060B4F"/>
    <w:rsid w:val="00072D27"/>
    <w:rsid w:val="00073B24"/>
    <w:rsid w:val="0008321F"/>
    <w:rsid w:val="00083C22"/>
    <w:rsid w:val="00085308"/>
    <w:rsid w:val="00086E87"/>
    <w:rsid w:val="000871A8"/>
    <w:rsid w:val="00093103"/>
    <w:rsid w:val="000A036B"/>
    <w:rsid w:val="000D00A0"/>
    <w:rsid w:val="000D0E4A"/>
    <w:rsid w:val="000D4CDD"/>
    <w:rsid w:val="000F11B9"/>
    <w:rsid w:val="000F5C3A"/>
    <w:rsid w:val="00100FB1"/>
    <w:rsid w:val="00102341"/>
    <w:rsid w:val="00105960"/>
    <w:rsid w:val="001073CE"/>
    <w:rsid w:val="00107678"/>
    <w:rsid w:val="0011019A"/>
    <w:rsid w:val="001126E8"/>
    <w:rsid w:val="00121553"/>
    <w:rsid w:val="001238BA"/>
    <w:rsid w:val="00131CAB"/>
    <w:rsid w:val="00140746"/>
    <w:rsid w:val="001434A3"/>
    <w:rsid w:val="00170CCC"/>
    <w:rsid w:val="00172D41"/>
    <w:rsid w:val="00180769"/>
    <w:rsid w:val="00181611"/>
    <w:rsid w:val="001A662D"/>
    <w:rsid w:val="001A728C"/>
    <w:rsid w:val="001B290F"/>
    <w:rsid w:val="001B6FEB"/>
    <w:rsid w:val="001D0BD1"/>
    <w:rsid w:val="001E3396"/>
    <w:rsid w:val="001F3C13"/>
    <w:rsid w:val="002017AC"/>
    <w:rsid w:val="00203461"/>
    <w:rsid w:val="00204254"/>
    <w:rsid w:val="002069FC"/>
    <w:rsid w:val="0022365C"/>
    <w:rsid w:val="00230225"/>
    <w:rsid w:val="0023030D"/>
    <w:rsid w:val="00230DEF"/>
    <w:rsid w:val="0023572E"/>
    <w:rsid w:val="002359ED"/>
    <w:rsid w:val="00236869"/>
    <w:rsid w:val="00245621"/>
    <w:rsid w:val="00252520"/>
    <w:rsid w:val="00261FBB"/>
    <w:rsid w:val="002625F9"/>
    <w:rsid w:val="002631F7"/>
    <w:rsid w:val="00264416"/>
    <w:rsid w:val="0026484A"/>
    <w:rsid w:val="0026504D"/>
    <w:rsid w:val="002700FC"/>
    <w:rsid w:val="00274640"/>
    <w:rsid w:val="00276926"/>
    <w:rsid w:val="002A2D1B"/>
    <w:rsid w:val="002A67C8"/>
    <w:rsid w:val="002B2065"/>
    <w:rsid w:val="002B3FF2"/>
    <w:rsid w:val="002B40B7"/>
    <w:rsid w:val="002B777F"/>
    <w:rsid w:val="002C5D75"/>
    <w:rsid w:val="002D288E"/>
    <w:rsid w:val="00301789"/>
    <w:rsid w:val="00302F02"/>
    <w:rsid w:val="00303B9F"/>
    <w:rsid w:val="0030504D"/>
    <w:rsid w:val="00317449"/>
    <w:rsid w:val="00321DFE"/>
    <w:rsid w:val="00325194"/>
    <w:rsid w:val="0036260E"/>
    <w:rsid w:val="00370ED8"/>
    <w:rsid w:val="003728E3"/>
    <w:rsid w:val="0037672D"/>
    <w:rsid w:val="003962D3"/>
    <w:rsid w:val="003A2E32"/>
    <w:rsid w:val="003B51A7"/>
    <w:rsid w:val="003B542F"/>
    <w:rsid w:val="003C7D9D"/>
    <w:rsid w:val="003E08A7"/>
    <w:rsid w:val="003E3A63"/>
    <w:rsid w:val="003E76B5"/>
    <w:rsid w:val="003F39A5"/>
    <w:rsid w:val="003F5E29"/>
    <w:rsid w:val="00415C50"/>
    <w:rsid w:val="00416C39"/>
    <w:rsid w:val="004252AC"/>
    <w:rsid w:val="00457BEB"/>
    <w:rsid w:val="00461B2E"/>
    <w:rsid w:val="00463399"/>
    <w:rsid w:val="004726C9"/>
    <w:rsid w:val="00482CFC"/>
    <w:rsid w:val="00484C72"/>
    <w:rsid w:val="00487996"/>
    <w:rsid w:val="004911C1"/>
    <w:rsid w:val="00491910"/>
    <w:rsid w:val="0049659B"/>
    <w:rsid w:val="004A3D03"/>
    <w:rsid w:val="004B1460"/>
    <w:rsid w:val="004B24F2"/>
    <w:rsid w:val="004B4DC0"/>
    <w:rsid w:val="004B6D7F"/>
    <w:rsid w:val="004D6D56"/>
    <w:rsid w:val="004D785F"/>
    <w:rsid w:val="004E744B"/>
    <w:rsid w:val="004F37EC"/>
    <w:rsid w:val="004F7760"/>
    <w:rsid w:val="00520AC9"/>
    <w:rsid w:val="0054283D"/>
    <w:rsid w:val="005565B3"/>
    <w:rsid w:val="00570D21"/>
    <w:rsid w:val="00575F7D"/>
    <w:rsid w:val="005822C6"/>
    <w:rsid w:val="00582B07"/>
    <w:rsid w:val="00582F6F"/>
    <w:rsid w:val="005848AD"/>
    <w:rsid w:val="00594254"/>
    <w:rsid w:val="00596CF4"/>
    <w:rsid w:val="005B1FC1"/>
    <w:rsid w:val="005B6EB8"/>
    <w:rsid w:val="005E00A6"/>
    <w:rsid w:val="005F4732"/>
    <w:rsid w:val="006133FC"/>
    <w:rsid w:val="00614CAB"/>
    <w:rsid w:val="00632185"/>
    <w:rsid w:val="00633BC0"/>
    <w:rsid w:val="00646B03"/>
    <w:rsid w:val="00661DE5"/>
    <w:rsid w:val="006706DE"/>
    <w:rsid w:val="00674CE2"/>
    <w:rsid w:val="0068290A"/>
    <w:rsid w:val="0069487E"/>
    <w:rsid w:val="00694C5F"/>
    <w:rsid w:val="00697AFD"/>
    <w:rsid w:val="006A7CDE"/>
    <w:rsid w:val="006B0B82"/>
    <w:rsid w:val="006B1C8E"/>
    <w:rsid w:val="006B3624"/>
    <w:rsid w:val="006B7EF2"/>
    <w:rsid w:val="006C3B5F"/>
    <w:rsid w:val="006D3A72"/>
    <w:rsid w:val="006D5EE3"/>
    <w:rsid w:val="006E5166"/>
    <w:rsid w:val="006F4D31"/>
    <w:rsid w:val="006F53EE"/>
    <w:rsid w:val="00717507"/>
    <w:rsid w:val="007263B8"/>
    <w:rsid w:val="00726D9C"/>
    <w:rsid w:val="00726F2C"/>
    <w:rsid w:val="00736D30"/>
    <w:rsid w:val="00742FF3"/>
    <w:rsid w:val="00744FBF"/>
    <w:rsid w:val="00760EE2"/>
    <w:rsid w:val="00762D0A"/>
    <w:rsid w:val="00776395"/>
    <w:rsid w:val="0078378D"/>
    <w:rsid w:val="0079228A"/>
    <w:rsid w:val="00794B27"/>
    <w:rsid w:val="00796D51"/>
    <w:rsid w:val="00797862"/>
    <w:rsid w:val="007A7846"/>
    <w:rsid w:val="007B0750"/>
    <w:rsid w:val="007C65A1"/>
    <w:rsid w:val="007D0F94"/>
    <w:rsid w:val="007E2825"/>
    <w:rsid w:val="007F2295"/>
    <w:rsid w:val="007F66F5"/>
    <w:rsid w:val="00812400"/>
    <w:rsid w:val="0082203C"/>
    <w:rsid w:val="00822B4A"/>
    <w:rsid w:val="008360A8"/>
    <w:rsid w:val="008416E0"/>
    <w:rsid w:val="008448EC"/>
    <w:rsid w:val="008472FC"/>
    <w:rsid w:val="00852E93"/>
    <w:rsid w:val="00852FF7"/>
    <w:rsid w:val="00873D38"/>
    <w:rsid w:val="00892EEE"/>
    <w:rsid w:val="008934B6"/>
    <w:rsid w:val="00897985"/>
    <w:rsid w:val="00897BFF"/>
    <w:rsid w:val="008A5FF1"/>
    <w:rsid w:val="008B2C5F"/>
    <w:rsid w:val="008C61B9"/>
    <w:rsid w:val="008D2FA9"/>
    <w:rsid w:val="008E7763"/>
    <w:rsid w:val="008F595A"/>
    <w:rsid w:val="00905015"/>
    <w:rsid w:val="009063AA"/>
    <w:rsid w:val="00912477"/>
    <w:rsid w:val="009139AF"/>
    <w:rsid w:val="009159F8"/>
    <w:rsid w:val="009249B2"/>
    <w:rsid w:val="00930CC0"/>
    <w:rsid w:val="00933003"/>
    <w:rsid w:val="0094124A"/>
    <w:rsid w:val="00943B06"/>
    <w:rsid w:val="00945864"/>
    <w:rsid w:val="00952128"/>
    <w:rsid w:val="00961BD6"/>
    <w:rsid w:val="009759B8"/>
    <w:rsid w:val="00982A32"/>
    <w:rsid w:val="009853E9"/>
    <w:rsid w:val="00994AD2"/>
    <w:rsid w:val="009968FF"/>
    <w:rsid w:val="00996E16"/>
    <w:rsid w:val="009979E8"/>
    <w:rsid w:val="009B69C5"/>
    <w:rsid w:val="009C0B2C"/>
    <w:rsid w:val="009E3690"/>
    <w:rsid w:val="009E51FE"/>
    <w:rsid w:val="009E5643"/>
    <w:rsid w:val="009F6A5E"/>
    <w:rsid w:val="009F72A7"/>
    <w:rsid w:val="00A05AC7"/>
    <w:rsid w:val="00A10870"/>
    <w:rsid w:val="00A119D9"/>
    <w:rsid w:val="00A145B7"/>
    <w:rsid w:val="00A20F84"/>
    <w:rsid w:val="00A21BED"/>
    <w:rsid w:val="00A27D99"/>
    <w:rsid w:val="00A40302"/>
    <w:rsid w:val="00A46AD4"/>
    <w:rsid w:val="00A60D92"/>
    <w:rsid w:val="00A74984"/>
    <w:rsid w:val="00A75F4F"/>
    <w:rsid w:val="00A7681C"/>
    <w:rsid w:val="00A86EAC"/>
    <w:rsid w:val="00A91BD4"/>
    <w:rsid w:val="00A923E7"/>
    <w:rsid w:val="00AA661C"/>
    <w:rsid w:val="00AC2F58"/>
    <w:rsid w:val="00AD3EC7"/>
    <w:rsid w:val="00AF04E7"/>
    <w:rsid w:val="00B12A12"/>
    <w:rsid w:val="00B237D7"/>
    <w:rsid w:val="00B32E3E"/>
    <w:rsid w:val="00B3326A"/>
    <w:rsid w:val="00B369B4"/>
    <w:rsid w:val="00B40525"/>
    <w:rsid w:val="00B53817"/>
    <w:rsid w:val="00B54664"/>
    <w:rsid w:val="00B6076E"/>
    <w:rsid w:val="00B60F1C"/>
    <w:rsid w:val="00B61F85"/>
    <w:rsid w:val="00B66C2A"/>
    <w:rsid w:val="00B8058D"/>
    <w:rsid w:val="00B81A2E"/>
    <w:rsid w:val="00B821B5"/>
    <w:rsid w:val="00B830FA"/>
    <w:rsid w:val="00BA0760"/>
    <w:rsid w:val="00BA3469"/>
    <w:rsid w:val="00BA3CC7"/>
    <w:rsid w:val="00BA6929"/>
    <w:rsid w:val="00BC759A"/>
    <w:rsid w:val="00BF457D"/>
    <w:rsid w:val="00BF4775"/>
    <w:rsid w:val="00BF6873"/>
    <w:rsid w:val="00C02983"/>
    <w:rsid w:val="00C14E7A"/>
    <w:rsid w:val="00C40C76"/>
    <w:rsid w:val="00C558EE"/>
    <w:rsid w:val="00C6547A"/>
    <w:rsid w:val="00C930AF"/>
    <w:rsid w:val="00C973EC"/>
    <w:rsid w:val="00CA0C45"/>
    <w:rsid w:val="00CA403D"/>
    <w:rsid w:val="00CB29EC"/>
    <w:rsid w:val="00CB443B"/>
    <w:rsid w:val="00CC3AB0"/>
    <w:rsid w:val="00CC68B9"/>
    <w:rsid w:val="00CD2F33"/>
    <w:rsid w:val="00CE104D"/>
    <w:rsid w:val="00CE1361"/>
    <w:rsid w:val="00CF038D"/>
    <w:rsid w:val="00CF12AE"/>
    <w:rsid w:val="00CF63A1"/>
    <w:rsid w:val="00D033AD"/>
    <w:rsid w:val="00D1798D"/>
    <w:rsid w:val="00D26155"/>
    <w:rsid w:val="00D2646B"/>
    <w:rsid w:val="00D317B4"/>
    <w:rsid w:val="00D43BFB"/>
    <w:rsid w:val="00D440BE"/>
    <w:rsid w:val="00D443DC"/>
    <w:rsid w:val="00D448A0"/>
    <w:rsid w:val="00D4573A"/>
    <w:rsid w:val="00D46550"/>
    <w:rsid w:val="00D46D14"/>
    <w:rsid w:val="00D661BA"/>
    <w:rsid w:val="00D670A9"/>
    <w:rsid w:val="00D85A5F"/>
    <w:rsid w:val="00D877B6"/>
    <w:rsid w:val="00D87F8B"/>
    <w:rsid w:val="00D902A4"/>
    <w:rsid w:val="00D96CC8"/>
    <w:rsid w:val="00DA32D9"/>
    <w:rsid w:val="00DA387F"/>
    <w:rsid w:val="00DB1131"/>
    <w:rsid w:val="00DB2323"/>
    <w:rsid w:val="00DB331E"/>
    <w:rsid w:val="00DC0F3F"/>
    <w:rsid w:val="00DC4A8B"/>
    <w:rsid w:val="00DC4E21"/>
    <w:rsid w:val="00DD3154"/>
    <w:rsid w:val="00DD5358"/>
    <w:rsid w:val="00DD767C"/>
    <w:rsid w:val="00DE156E"/>
    <w:rsid w:val="00DF40D7"/>
    <w:rsid w:val="00DF5D1C"/>
    <w:rsid w:val="00E00849"/>
    <w:rsid w:val="00E05495"/>
    <w:rsid w:val="00E1588C"/>
    <w:rsid w:val="00E224A0"/>
    <w:rsid w:val="00E227F1"/>
    <w:rsid w:val="00E254F0"/>
    <w:rsid w:val="00E32E72"/>
    <w:rsid w:val="00E368D1"/>
    <w:rsid w:val="00E40636"/>
    <w:rsid w:val="00E46BB7"/>
    <w:rsid w:val="00E51168"/>
    <w:rsid w:val="00E652DB"/>
    <w:rsid w:val="00E72A21"/>
    <w:rsid w:val="00E7715A"/>
    <w:rsid w:val="00E92774"/>
    <w:rsid w:val="00EA3854"/>
    <w:rsid w:val="00EA444A"/>
    <w:rsid w:val="00EB30CC"/>
    <w:rsid w:val="00EB700D"/>
    <w:rsid w:val="00EE65AA"/>
    <w:rsid w:val="00EE7D67"/>
    <w:rsid w:val="00F048D4"/>
    <w:rsid w:val="00F06CF2"/>
    <w:rsid w:val="00F131F3"/>
    <w:rsid w:val="00F163A1"/>
    <w:rsid w:val="00F23B3F"/>
    <w:rsid w:val="00F27CD0"/>
    <w:rsid w:val="00F33B83"/>
    <w:rsid w:val="00F34C84"/>
    <w:rsid w:val="00F47C43"/>
    <w:rsid w:val="00F54BD0"/>
    <w:rsid w:val="00F61A58"/>
    <w:rsid w:val="00F822C6"/>
    <w:rsid w:val="00F84EBB"/>
    <w:rsid w:val="00F86487"/>
    <w:rsid w:val="00F86537"/>
    <w:rsid w:val="00F86816"/>
    <w:rsid w:val="00F94D3E"/>
    <w:rsid w:val="00FB3EF4"/>
    <w:rsid w:val="00FE2F21"/>
    <w:rsid w:val="00FE6DD2"/>
    <w:rsid w:val="00FF44F1"/>
    <w:rsid w:val="00FF5FDF"/>
    <w:rsid w:val="011FB6E9"/>
    <w:rsid w:val="0EAD38C6"/>
    <w:rsid w:val="106BEE14"/>
    <w:rsid w:val="18A54296"/>
    <w:rsid w:val="1C3417B8"/>
    <w:rsid w:val="22919D18"/>
    <w:rsid w:val="2B571113"/>
    <w:rsid w:val="2ED4F76B"/>
    <w:rsid w:val="2FA5BE4B"/>
    <w:rsid w:val="32DEDD74"/>
    <w:rsid w:val="3AA4BCD9"/>
    <w:rsid w:val="3C0EA467"/>
    <w:rsid w:val="3CA6F04D"/>
    <w:rsid w:val="3E020ECA"/>
    <w:rsid w:val="4D4F2310"/>
    <w:rsid w:val="53F4B2C0"/>
    <w:rsid w:val="67D8E53C"/>
    <w:rsid w:val="6E0ACDE0"/>
    <w:rsid w:val="6F44090F"/>
    <w:rsid w:val="7196AC47"/>
    <w:rsid w:val="74697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62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F7"/>
    <w:rPr>
      <w:sz w:val="24"/>
      <w:lang w:val="en-GB"/>
    </w:rPr>
  </w:style>
  <w:style w:type="paragraph" w:styleId="Heading1">
    <w:name w:val="heading 1"/>
    <w:basedOn w:val="Normal"/>
    <w:next w:val="Subtitle"/>
    <w:link w:val="Heading1Char"/>
    <w:uiPriority w:val="5"/>
    <w:qFormat/>
    <w:rsid w:val="003A2E32"/>
    <w:pPr>
      <w:keepNext/>
      <w:keepLines/>
      <w:pBdr>
        <w:bottom w:val="single" w:sz="18" w:space="1" w:color="206EB5" w:themeColor="accent5"/>
      </w:pBdr>
      <w:spacing w:before="360" w:after="240" w:line="240" w:lineRule="auto"/>
      <w:contextualSpacing/>
      <w:outlineLvl w:val="0"/>
    </w:pPr>
    <w:rPr>
      <w:rFonts w:asciiTheme="majorHAnsi" w:eastAsiaTheme="majorEastAsia" w:hAnsiTheme="majorHAnsi" w:cstheme="majorBidi"/>
      <w:b/>
      <w:color w:val="3B3838" w:themeColor="background2" w:themeShade="40"/>
      <w:kern w:val="28"/>
      <w:sz w:val="36"/>
      <w:szCs w:val="52"/>
      <w14:ligatures w14:val="standard"/>
      <w14:numForm w14:val="oldStyle"/>
    </w:rPr>
  </w:style>
  <w:style w:type="paragraph" w:styleId="Heading2">
    <w:name w:val="heading 2"/>
    <w:basedOn w:val="Heading1"/>
    <w:next w:val="Normal"/>
    <w:link w:val="Heading2Char"/>
    <w:uiPriority w:val="6"/>
    <w:unhideWhenUsed/>
    <w:qFormat/>
    <w:rsid w:val="003A2E32"/>
    <w:pPr>
      <w:spacing w:before="40"/>
      <w:outlineLvl w:val="1"/>
    </w:pPr>
    <w:rPr>
      <w:color w:val="1F4E79" w:themeColor="accent1" w:themeShade="80"/>
      <w:sz w:val="28"/>
      <w:szCs w:val="26"/>
    </w:rPr>
  </w:style>
  <w:style w:type="paragraph" w:styleId="Heading3">
    <w:name w:val="heading 3"/>
    <w:basedOn w:val="Normal"/>
    <w:next w:val="Normal"/>
    <w:link w:val="Heading3Char"/>
    <w:uiPriority w:val="6"/>
    <w:semiHidden/>
    <w:unhideWhenUsed/>
    <w:qFormat/>
    <w:rsid w:val="00E652D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6"/>
    <w:semiHidden/>
    <w:unhideWhenUsed/>
    <w:qFormat/>
    <w:rsid w:val="00E652DB"/>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E652DB"/>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E652DB"/>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E652D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E652D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E652D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A2E32"/>
    <w:rPr>
      <w:rFonts w:asciiTheme="majorHAnsi" w:eastAsiaTheme="majorEastAsia" w:hAnsiTheme="majorHAnsi" w:cstheme="majorBidi"/>
      <w:b/>
      <w:color w:val="3B3838" w:themeColor="background2" w:themeShade="40"/>
      <w:kern w:val="28"/>
      <w:sz w:val="36"/>
      <w:szCs w:val="52"/>
      <w:lang w:val="en-GB"/>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E652DB"/>
    <w:pPr>
      <w:numPr>
        <w:numId w:val="31"/>
      </w:numPr>
    </w:pPr>
    <w:rPr>
      <w:rFonts w:eastAsiaTheme="minorEastAsia"/>
      <w:color w:val="3B3838" w:themeColor="background2" w:themeShade="40"/>
    </w:rPr>
  </w:style>
  <w:style w:type="paragraph" w:styleId="Title">
    <w:name w:val="Title"/>
    <w:basedOn w:val="Normal"/>
    <w:link w:val="TitleChar"/>
    <w:uiPriority w:val="1"/>
    <w:qFormat/>
    <w:rsid w:val="00E652DB"/>
    <w:pPr>
      <w:pBdr>
        <w:left w:val="single" w:sz="48" w:space="0" w:color="206EB5" w:themeColor="accent5"/>
      </w:pBdr>
      <w:shd w:val="clear" w:color="auto" w:fill="206EB5"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E652DB"/>
    <w:rPr>
      <w:rFonts w:asciiTheme="majorHAnsi" w:eastAsiaTheme="majorEastAsia" w:hAnsiTheme="majorHAnsi" w:cstheme="majorBidi"/>
      <w:color w:val="FFFFFF" w:themeColor="background1"/>
      <w:spacing w:val="-10"/>
      <w:kern w:val="28"/>
      <w:sz w:val="96"/>
      <w:szCs w:val="56"/>
      <w:shd w:val="clear" w:color="auto" w:fill="206EB5" w:themeFill="accent5"/>
    </w:rPr>
  </w:style>
  <w:style w:type="paragraph" w:styleId="Subtitle">
    <w:name w:val="Subtitle"/>
    <w:basedOn w:val="Normal"/>
    <w:next w:val="Normal"/>
    <w:link w:val="SubtitleChar"/>
    <w:uiPriority w:val="2"/>
    <w:qFormat/>
    <w:rsid w:val="00E652DB"/>
    <w:pPr>
      <w:numPr>
        <w:ilvl w:val="1"/>
      </w:numPr>
      <w:pBdr>
        <w:left w:val="single" w:sz="48" w:space="0" w:color="206EB5" w:themeColor="accent5"/>
        <w:bottom w:val="single" w:sz="48" w:space="1" w:color="206EB5" w:themeColor="accent5"/>
      </w:pBdr>
      <w:shd w:val="clear" w:color="auto" w:fill="206EB5"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E652DB"/>
    <w:rPr>
      <w:rFonts w:asciiTheme="majorHAnsi" w:eastAsiaTheme="minorEastAsia" w:hAnsiTheme="majorHAnsi"/>
      <w:color w:val="FFFFFF" w:themeColor="background1"/>
      <w:spacing w:val="15"/>
      <w:sz w:val="36"/>
      <w:shd w:val="clear" w:color="auto" w:fill="206EB5"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sid w:val="00E652DB"/>
    <w:rPr>
      <w:i/>
      <w:iCs/>
      <w:color w:val="206EB5"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insideV w:val="nil"/>
        </w:tcBorders>
        <w:shd w:val="clear" w:color="auto" w:fill="206EB5" w:themeFill="accent5"/>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rsid w:val="003A2E32"/>
    <w:rPr>
      <w:rFonts w:asciiTheme="majorHAnsi" w:eastAsiaTheme="majorEastAsia" w:hAnsiTheme="majorHAnsi" w:cstheme="majorBidi"/>
      <w:b/>
      <w:color w:val="1F4E79" w:themeColor="accent1" w:themeShade="80"/>
      <w:kern w:val="28"/>
      <w:sz w:val="28"/>
      <w:szCs w:val="26"/>
      <w:lang w:val="en-GB"/>
      <w14:ligatures w14:val="standard"/>
      <w14:numForm w14:val="oldStyle"/>
    </w:rPr>
  </w:style>
  <w:style w:type="paragraph" w:styleId="ListBullet">
    <w:name w:val="List Bullet"/>
    <w:basedOn w:val="Normal"/>
    <w:uiPriority w:val="11"/>
    <w:qFormat/>
    <w:rsid w:val="00E652DB"/>
    <w:pPr>
      <w:numPr>
        <w:numId w:val="30"/>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E652DB"/>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E652DB"/>
    <w:rPr>
      <w:b/>
      <w:bCs/>
      <w:color w:val="206EB5" w:themeColor="accent5"/>
    </w:rPr>
  </w:style>
  <w:style w:type="paragraph" w:customStyle="1" w:styleId="Heading1-PageBreak">
    <w:name w:val="Heading 1 - Page Break"/>
    <w:basedOn w:val="Normal"/>
    <w:uiPriority w:val="6"/>
    <w:qFormat/>
    <w:rsid w:val="00E652DB"/>
    <w:pPr>
      <w:keepNext/>
      <w:keepLines/>
      <w:pageBreakBefore/>
      <w:pBdr>
        <w:bottom w:val="single" w:sz="18" w:space="1" w:color="206EB5"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E652DB"/>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E652DB"/>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unhideWhenUsed/>
    <w:qFormat/>
    <w:rsid w:val="00E652DB"/>
    <w:rPr>
      <w:b/>
      <w:bCs/>
      <w:i/>
      <w:iCs/>
      <w:spacing w:val="0"/>
    </w:rPr>
  </w:style>
  <w:style w:type="paragraph" w:styleId="Caption">
    <w:name w:val="caption"/>
    <w:basedOn w:val="Normal"/>
    <w:next w:val="Normal"/>
    <w:uiPriority w:val="35"/>
    <w:unhideWhenUsed/>
    <w:qFormat/>
    <w:rsid w:val="00E652DB"/>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E2F6" w:themeFill="accent5" w:themeFillTint="33"/>
    </w:tcPr>
    <w:tblStylePr w:type="firstRow">
      <w:rPr>
        <w:b/>
        <w:bCs/>
      </w:rPr>
      <w:tblPr/>
      <w:tcPr>
        <w:shd w:val="clear" w:color="auto" w:fill="99C5ED" w:themeFill="accent5" w:themeFillTint="66"/>
      </w:tcPr>
    </w:tblStylePr>
    <w:tblStylePr w:type="lastRow">
      <w:rPr>
        <w:b/>
        <w:bCs/>
        <w:color w:val="000000" w:themeColor="text1"/>
      </w:rPr>
      <w:tblPr/>
      <w:tcPr>
        <w:shd w:val="clear" w:color="auto" w:fill="99C5ED" w:themeFill="accent5" w:themeFillTint="66"/>
      </w:tcPr>
    </w:tblStylePr>
    <w:tblStylePr w:type="firstCol">
      <w:rPr>
        <w:color w:val="FFFFFF" w:themeColor="background1"/>
      </w:rPr>
      <w:tblPr/>
      <w:tcPr>
        <w:shd w:val="clear" w:color="auto" w:fill="185287" w:themeFill="accent5" w:themeFillShade="BF"/>
      </w:tcPr>
    </w:tblStylePr>
    <w:tblStylePr w:type="lastCol">
      <w:rPr>
        <w:color w:val="FFFFFF" w:themeColor="background1"/>
      </w:rPr>
      <w:tblPr/>
      <w:tcPr>
        <w:shd w:val="clear" w:color="auto" w:fill="185287" w:themeFill="accent5" w:themeFillShade="BF"/>
      </w:tc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F0FA"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BF4" w:themeFill="accent5" w:themeFillTint="3F"/>
      </w:tcPr>
    </w:tblStylePr>
    <w:tblStylePr w:type="band1Horz">
      <w:tblPr/>
      <w:tcPr>
        <w:shd w:val="clear" w:color="auto" w:fill="CCE2F6"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195790" w:themeFill="accent5" w:themeFillShade="CC"/>
      </w:tcPr>
    </w:tblStylePr>
    <w:tblStylePr w:type="lastRow">
      <w:rPr>
        <w:b/>
        <w:bCs/>
        <w:color w:val="195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06EB5" w:themeColor="accent5"/>
        <w:bottom w:val="single" w:sz="4" w:space="0" w:color="206EB5" w:themeColor="accent5"/>
        <w:right w:val="single" w:sz="4" w:space="0" w:color="206EB5" w:themeColor="accent5"/>
        <w:insideH w:val="single" w:sz="4" w:space="0" w:color="FFFFFF" w:themeColor="background1"/>
        <w:insideV w:val="single" w:sz="4" w:space="0" w:color="FFFFFF" w:themeColor="background1"/>
      </w:tblBorders>
    </w:tblPr>
    <w:tcPr>
      <w:shd w:val="clear" w:color="auto" w:fill="E6F0FA"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16C" w:themeFill="accent5" w:themeFillShade="99"/>
      </w:tcPr>
    </w:tblStylePr>
    <w:tblStylePr w:type="firstCol">
      <w:rPr>
        <w:color w:val="FFFFFF" w:themeColor="background1"/>
      </w:rPr>
      <w:tblPr/>
      <w:tcPr>
        <w:tcBorders>
          <w:top w:val="nil"/>
          <w:left w:val="nil"/>
          <w:bottom w:val="nil"/>
          <w:right w:val="nil"/>
          <w:insideH w:val="single" w:sz="4" w:space="0" w:color="13416C" w:themeColor="accent5" w:themeShade="99"/>
          <w:insideV w:val="nil"/>
        </w:tcBorders>
        <w:shd w:val="clear" w:color="auto" w:fill="1341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3416C" w:themeFill="accent5" w:themeFillShade="99"/>
      </w:tcPr>
    </w:tblStylePr>
    <w:tblStylePr w:type="band1Vert">
      <w:tblPr/>
      <w:tcPr>
        <w:shd w:val="clear" w:color="auto" w:fill="99C5ED" w:themeFill="accent5" w:themeFillTint="66"/>
      </w:tcPr>
    </w:tblStylePr>
    <w:tblStylePr w:type="band1Horz">
      <w:tblPr/>
      <w:tcPr>
        <w:shd w:val="clear" w:color="auto" w:fill="81B7E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06EB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06E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6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852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85287" w:themeFill="accent5" w:themeFillShade="BF"/>
      </w:tcPr>
    </w:tblStylePr>
    <w:tblStylePr w:type="band1Vert">
      <w:tblPr/>
      <w:tcPr>
        <w:tcBorders>
          <w:top w:val="nil"/>
          <w:left w:val="nil"/>
          <w:bottom w:val="nil"/>
          <w:right w:val="nil"/>
          <w:insideH w:val="nil"/>
          <w:insideV w:val="nil"/>
        </w:tcBorders>
        <w:shd w:val="clear" w:color="auto" w:fill="185287" w:themeFill="accent5" w:themeFillShade="BF"/>
      </w:tcPr>
    </w:tblStylePr>
    <w:tblStylePr w:type="band1Horz">
      <w:tblPr/>
      <w:tcPr>
        <w:tcBorders>
          <w:top w:val="nil"/>
          <w:left w:val="nil"/>
          <w:bottom w:val="nil"/>
          <w:right w:val="nil"/>
          <w:insideH w:val="nil"/>
          <w:insideV w:val="nil"/>
        </w:tcBorders>
        <w:shd w:val="clear" w:color="auto" w:fill="185287"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9C5ED" w:themeColor="accent5" w:themeTint="66"/>
        <w:left w:val="single" w:sz="4" w:space="0" w:color="99C5ED" w:themeColor="accent5" w:themeTint="66"/>
        <w:bottom w:val="single" w:sz="4" w:space="0" w:color="99C5ED" w:themeColor="accent5" w:themeTint="66"/>
        <w:right w:val="single" w:sz="4" w:space="0" w:color="99C5ED" w:themeColor="accent5" w:themeTint="66"/>
        <w:insideH w:val="single" w:sz="4" w:space="0" w:color="99C5ED" w:themeColor="accent5" w:themeTint="66"/>
        <w:insideV w:val="single" w:sz="4" w:space="0" w:color="99C5ED" w:themeColor="accent5" w:themeTint="66"/>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2" w:space="0" w:color="67A8E4"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7A8E4" w:themeColor="accent5" w:themeTint="99"/>
        <w:bottom w:val="single" w:sz="2" w:space="0" w:color="67A8E4" w:themeColor="accent5" w:themeTint="99"/>
        <w:insideH w:val="single" w:sz="2" w:space="0" w:color="67A8E4" w:themeColor="accent5" w:themeTint="99"/>
        <w:insideV w:val="single" w:sz="2" w:space="0" w:color="67A8E4" w:themeColor="accent5" w:themeTint="99"/>
      </w:tblBorders>
    </w:tblPr>
    <w:tblStylePr w:type="firstRow">
      <w:rPr>
        <w:b/>
        <w:bCs/>
      </w:rPr>
      <w:tblPr/>
      <w:tcPr>
        <w:tcBorders>
          <w:top w:val="nil"/>
          <w:bottom w:val="single" w:sz="12" w:space="0" w:color="67A8E4" w:themeColor="accent5" w:themeTint="99"/>
          <w:insideH w:val="nil"/>
          <w:insideV w:val="nil"/>
        </w:tcBorders>
        <w:shd w:val="clear" w:color="auto" w:fill="FFFFFF" w:themeFill="background1"/>
      </w:tcPr>
    </w:tblStylePr>
    <w:tblStylePr w:type="lastRow">
      <w:rPr>
        <w:b/>
        <w:bCs/>
      </w:rPr>
      <w:tblPr/>
      <w:tcPr>
        <w:tcBorders>
          <w:top w:val="double" w:sz="2" w:space="0" w:color="67A8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6E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6E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6E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6EB5" w:themeFill="accent5"/>
      </w:tcPr>
    </w:tblStylePr>
    <w:tblStylePr w:type="band1Vert">
      <w:tblPr/>
      <w:tcPr>
        <w:shd w:val="clear" w:color="auto" w:fill="99C5ED" w:themeFill="accent5" w:themeFillTint="66"/>
      </w:tcPr>
    </w:tblStylePr>
    <w:tblStylePr w:type="band1Horz">
      <w:tblPr/>
      <w:tcPr>
        <w:shd w:val="clear" w:color="auto" w:fill="99C5ED"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E652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E652DB"/>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E652DB"/>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E652DB"/>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E652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E652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E652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E652DB"/>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rsid w:val="00E652DB"/>
    <w:rPr>
      <w:i/>
      <w:iCs/>
      <w:color w:val="1F4E79" w:themeColor="accent1" w:themeShade="80"/>
    </w:rPr>
  </w:style>
  <w:style w:type="character" w:styleId="IntenseReference">
    <w:name w:val="Intense Reference"/>
    <w:basedOn w:val="DefaultParagraphFont"/>
    <w:uiPriority w:val="32"/>
    <w:unhideWhenUsed/>
    <w:qFormat/>
    <w:rsid w:val="00E652DB"/>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18" w:space="0" w:color="206EB5" w:themeColor="accent5"/>
          <w:right w:val="single" w:sz="8" w:space="0" w:color="206EB5" w:themeColor="accent5"/>
          <w:insideH w:val="nil"/>
          <w:insideV w:val="single" w:sz="8" w:space="0" w:color="206E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insideH w:val="nil"/>
          <w:insideV w:val="single" w:sz="8" w:space="0" w:color="206E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shd w:val="clear" w:color="auto" w:fill="C0DBF4" w:themeFill="accent5" w:themeFillTint="3F"/>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shd w:val="clear" w:color="auto" w:fill="C0DBF4" w:themeFill="accent5" w:themeFillTint="3F"/>
      </w:tcPr>
    </w:tblStylePr>
    <w:tblStylePr w:type="band2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pPr>
        <w:spacing w:before="0" w:after="0" w:line="240" w:lineRule="auto"/>
      </w:pPr>
      <w:rPr>
        <w:b/>
        <w:bCs/>
        <w:color w:val="FFFFFF" w:themeColor="background1"/>
      </w:rPr>
      <w:tblPr/>
      <w:tcPr>
        <w:shd w:val="clear" w:color="auto" w:fill="206EB5" w:themeFill="accent5"/>
      </w:tcPr>
    </w:tblStylePr>
    <w:tblStylePr w:type="lastRow">
      <w:pPr>
        <w:spacing w:before="0" w:after="0" w:line="240" w:lineRule="auto"/>
      </w:pPr>
      <w:rPr>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tcBorders>
      </w:tcPr>
    </w:tblStylePr>
    <w:tblStylePr w:type="firstCol">
      <w:rPr>
        <w:b/>
        <w:bCs/>
      </w:rPr>
    </w:tblStylePr>
    <w:tblStylePr w:type="lastCol">
      <w:rPr>
        <w:b/>
        <w:bCs/>
      </w:r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185287" w:themeColor="accent5" w:themeShade="BF"/>
    </w:rPr>
    <w:tblPr>
      <w:tblStyleRowBandSize w:val="1"/>
      <w:tblStyleColBandSize w:val="1"/>
      <w:tblBorders>
        <w:top w:val="single" w:sz="8" w:space="0" w:color="206EB5" w:themeColor="accent5"/>
        <w:bottom w:val="single" w:sz="8" w:space="0" w:color="206EB5" w:themeColor="accent5"/>
      </w:tblBorders>
    </w:tblPr>
    <w:tblStylePr w:type="fir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la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left w:val="nil"/>
          <w:right w:val="nil"/>
          <w:insideH w:val="nil"/>
          <w:insideV w:val="nil"/>
        </w:tcBorders>
        <w:shd w:val="clear" w:color="auto" w:fill="C0DBF4"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E652DB"/>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7A8E4" w:themeColor="accent5" w:themeTint="99"/>
        </w:tcBorders>
      </w:tcPr>
    </w:tblStylePr>
    <w:tblStylePr w:type="lastRow">
      <w:rPr>
        <w:b/>
        <w:bCs/>
      </w:rPr>
      <w:tblPr/>
      <w:tcPr>
        <w:tcBorders>
          <w:top w:val="sing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7A8E4" w:themeColor="accent5" w:themeTint="99"/>
        <w:bottom w:val="single" w:sz="4" w:space="0" w:color="67A8E4" w:themeColor="accent5" w:themeTint="99"/>
        <w:insideH w:val="single" w:sz="4" w:space="0" w:color="67A8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06EB5" w:themeColor="accent5"/>
        <w:left w:val="single" w:sz="4" w:space="0" w:color="206EB5" w:themeColor="accent5"/>
        <w:bottom w:val="single" w:sz="4" w:space="0" w:color="206EB5" w:themeColor="accent5"/>
        <w:right w:val="single" w:sz="4" w:space="0" w:color="206EB5" w:themeColor="accent5"/>
      </w:tblBorders>
    </w:tblPr>
    <w:tblStylePr w:type="firstRow">
      <w:rPr>
        <w:b/>
        <w:bCs/>
        <w:color w:val="FFFFFF" w:themeColor="background1"/>
      </w:rPr>
      <w:tblPr/>
      <w:tcPr>
        <w:shd w:val="clear" w:color="auto" w:fill="206EB5" w:themeFill="accent5"/>
      </w:tcPr>
    </w:tblStylePr>
    <w:tblStylePr w:type="lastRow">
      <w:rPr>
        <w:b/>
        <w:bCs/>
      </w:rPr>
      <w:tblPr/>
      <w:tcPr>
        <w:tcBorders>
          <w:top w:val="double" w:sz="4" w:space="0" w:color="206E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6EB5" w:themeColor="accent5"/>
          <w:right w:val="single" w:sz="4" w:space="0" w:color="206EB5" w:themeColor="accent5"/>
        </w:tcBorders>
      </w:tcPr>
    </w:tblStylePr>
    <w:tblStylePr w:type="band1Horz">
      <w:tblPr/>
      <w:tcPr>
        <w:tcBorders>
          <w:top w:val="single" w:sz="4" w:space="0" w:color="206EB5" w:themeColor="accent5"/>
          <w:bottom w:val="single" w:sz="4" w:space="0" w:color="206E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6EB5" w:themeColor="accent5"/>
          <w:left w:val="nil"/>
        </w:tcBorders>
      </w:tcPr>
    </w:tblStylePr>
    <w:tblStylePr w:type="swCell">
      <w:tblPr/>
      <w:tcPr>
        <w:tcBorders>
          <w:top w:val="double" w:sz="4" w:space="0" w:color="206EB5"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tcBorders>
        <w:shd w:val="clear" w:color="auto" w:fill="206EB5" w:themeFill="accent5"/>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06EB5" w:themeColor="accent5"/>
        <w:left w:val="single" w:sz="24" w:space="0" w:color="206EB5" w:themeColor="accent5"/>
        <w:bottom w:val="single" w:sz="24" w:space="0" w:color="206EB5" w:themeColor="accent5"/>
        <w:right w:val="single" w:sz="24" w:space="0" w:color="206EB5" w:themeColor="accent5"/>
      </w:tblBorders>
    </w:tblPr>
    <w:tcPr>
      <w:shd w:val="clear" w:color="auto" w:fill="206E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206EB5" w:themeColor="accent5"/>
        <w:bottom w:val="single" w:sz="4" w:space="0" w:color="206EB5" w:themeColor="accent5"/>
      </w:tblBorders>
    </w:tblPr>
    <w:tblStylePr w:type="firstRow">
      <w:rPr>
        <w:b/>
        <w:bCs/>
      </w:rPr>
      <w:tblPr/>
      <w:tcPr>
        <w:tcBorders>
          <w:bottom w:val="single" w:sz="4" w:space="0" w:color="206EB5" w:themeColor="accent5"/>
        </w:tcBorders>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1852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6E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6E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6E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6EB5" w:themeColor="accent5"/>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insideV w:val="single" w:sz="8" w:space="0" w:color="4193DD" w:themeColor="accent5" w:themeTint="BF"/>
      </w:tblBorders>
    </w:tblPr>
    <w:tcPr>
      <w:shd w:val="clear" w:color="auto" w:fill="C0DBF4" w:themeFill="accent5" w:themeFillTint="3F"/>
    </w:tcPr>
    <w:tblStylePr w:type="firstRow">
      <w:rPr>
        <w:b/>
        <w:bCs/>
      </w:rPr>
    </w:tblStylePr>
    <w:tblStylePr w:type="lastRow">
      <w:rPr>
        <w:b/>
        <w:bCs/>
      </w:rPr>
      <w:tblPr/>
      <w:tcPr>
        <w:tcBorders>
          <w:top w:val="single" w:sz="18" w:space="0" w:color="4193DD" w:themeColor="accent5" w:themeTint="BF"/>
        </w:tcBorders>
      </w:tcPr>
    </w:tblStylePr>
    <w:tblStylePr w:type="firstCol">
      <w:rPr>
        <w:b/>
        <w:bCs/>
      </w:rPr>
    </w:tblStylePr>
    <w:tblStylePr w:type="lastCol">
      <w:rPr>
        <w:b/>
        <w:bCs/>
      </w:r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cPr>
      <w:shd w:val="clear" w:color="auto" w:fill="C0DBF4" w:themeFill="accent5" w:themeFillTint="3F"/>
    </w:tcPr>
    <w:tblStylePr w:type="firstRow">
      <w:rPr>
        <w:b/>
        <w:bCs/>
        <w:color w:val="000000" w:themeColor="text1"/>
      </w:rPr>
      <w:tblPr/>
      <w:tcPr>
        <w:shd w:val="clear" w:color="auto" w:fill="E6F0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2F6" w:themeFill="accent5" w:themeFillTint="33"/>
      </w:tcPr>
    </w:tblStylePr>
    <w:tblStylePr w:type="band1Vert">
      <w:tblPr/>
      <w:tcPr>
        <w:shd w:val="clear" w:color="auto" w:fill="81B7E8" w:themeFill="accent5" w:themeFillTint="7F"/>
      </w:tcPr>
    </w:tblStylePr>
    <w:tblStylePr w:type="band1Horz">
      <w:tblPr/>
      <w:tcPr>
        <w:tcBorders>
          <w:insideH w:val="single" w:sz="6" w:space="0" w:color="206EB5" w:themeColor="accent5"/>
          <w:insideV w:val="single" w:sz="6" w:space="0" w:color="206EB5" w:themeColor="accent5"/>
        </w:tcBorders>
        <w:shd w:val="clear" w:color="auto" w:fill="81B7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6E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6E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7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7E8"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06EB5" w:themeColor="accent5"/>
        <w:bottom w:val="single" w:sz="8" w:space="0" w:color="206EB5" w:themeColor="accent5"/>
      </w:tblBorders>
    </w:tblPr>
    <w:tblStylePr w:type="firstRow">
      <w:rPr>
        <w:rFonts w:asciiTheme="majorHAnsi" w:eastAsiaTheme="majorEastAsia" w:hAnsiTheme="majorHAnsi" w:cstheme="majorBidi"/>
      </w:rPr>
      <w:tblPr/>
      <w:tcPr>
        <w:tcBorders>
          <w:top w:val="nil"/>
          <w:bottom w:val="single" w:sz="8" w:space="0" w:color="206EB5" w:themeColor="accent5"/>
        </w:tcBorders>
      </w:tcPr>
    </w:tblStylePr>
    <w:tblStylePr w:type="lastRow">
      <w:rPr>
        <w:b/>
        <w:bCs/>
        <w:color w:val="44546A" w:themeColor="text2"/>
      </w:rPr>
      <w:tblPr/>
      <w:tcPr>
        <w:tcBorders>
          <w:top w:val="single" w:sz="8" w:space="0" w:color="206EB5" w:themeColor="accent5"/>
          <w:bottom w:val="single" w:sz="8" w:space="0" w:color="206EB5" w:themeColor="accent5"/>
        </w:tcBorders>
      </w:tcPr>
    </w:tblStylePr>
    <w:tblStylePr w:type="firstCol">
      <w:rPr>
        <w:b/>
        <w:bCs/>
      </w:rPr>
    </w:tblStylePr>
    <w:tblStylePr w:type="lastCol">
      <w:rPr>
        <w:b/>
        <w:bCs/>
      </w:rPr>
      <w:tblPr/>
      <w:tcPr>
        <w:tcBorders>
          <w:top w:val="single" w:sz="8" w:space="0" w:color="206EB5" w:themeColor="accent5"/>
          <w:bottom w:val="single" w:sz="8" w:space="0" w:color="206EB5" w:themeColor="accent5"/>
        </w:tcBorders>
      </w:tcPr>
    </w:tblStylePr>
    <w:tblStylePr w:type="band1Vert">
      <w:tblPr/>
      <w:tcPr>
        <w:shd w:val="clear" w:color="auto" w:fill="C0DBF4" w:themeFill="accent5" w:themeFillTint="3F"/>
      </w:tcPr>
    </w:tblStylePr>
    <w:tblStylePr w:type="band1Horz">
      <w:tblPr/>
      <w:tcPr>
        <w:shd w:val="clear" w:color="auto" w:fill="C0DBF4"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rPr>
        <w:sz w:val="24"/>
        <w:szCs w:val="24"/>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6EB5" w:themeColor="accent5"/>
          <w:insideH w:val="nil"/>
          <w:insideV w:val="nil"/>
        </w:tcBorders>
        <w:shd w:val="clear" w:color="auto" w:fill="FFFFFF" w:themeFill="background1"/>
      </w:tcPr>
    </w:tblStylePr>
    <w:tblStylePr w:type="lastCol">
      <w:tblPr/>
      <w:tcPr>
        <w:tcBorders>
          <w:top w:val="nil"/>
          <w:left w:val="single" w:sz="8" w:space="0" w:color="206E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top w:val="nil"/>
          <w:bottom w:val="nil"/>
          <w:insideH w:val="nil"/>
          <w:insideV w:val="nil"/>
        </w:tcBorders>
        <w:shd w:val="clear" w:color="auto" w:fill="C0D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tblBorders>
    </w:tblPr>
    <w:tblStylePr w:type="firstRow">
      <w:pPr>
        <w:spacing w:before="0" w:after="0" w:line="240" w:lineRule="auto"/>
      </w:pPr>
      <w:rPr>
        <w:b/>
        <w:bCs/>
        <w:color w:val="FFFFFF" w:themeColor="background1"/>
      </w:rPr>
      <w:tblPr/>
      <w:tcPr>
        <w:tc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shd w:val="clear" w:color="auto" w:fill="206EB5" w:themeFill="accent5"/>
      </w:tcPr>
    </w:tblStylePr>
    <w:tblStylePr w:type="lastRow">
      <w:pPr>
        <w:spacing w:before="0" w:after="0" w:line="240" w:lineRule="auto"/>
      </w:pPr>
      <w:rPr>
        <w:b/>
        <w:bCs/>
      </w:rPr>
      <w:tblPr/>
      <w:tcPr>
        <w:tcBorders>
          <w:top w:val="double" w:sz="6"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DBF4" w:themeFill="accent5" w:themeFillTint="3F"/>
      </w:tcPr>
    </w:tblStylePr>
    <w:tblStylePr w:type="band1Horz">
      <w:tblPr/>
      <w:tcPr>
        <w:tcBorders>
          <w:insideH w:val="nil"/>
          <w:insideV w:val="nil"/>
        </w:tcBorders>
        <w:shd w:val="clear" w:color="auto" w:fill="C0D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6E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6EB5" w:themeFill="accent5"/>
      </w:tcPr>
    </w:tblStylePr>
    <w:tblStylePr w:type="lastCol">
      <w:rPr>
        <w:b/>
        <w:bCs/>
        <w:color w:val="FFFFFF" w:themeColor="background1"/>
      </w:rPr>
      <w:tblPr/>
      <w:tcPr>
        <w:tcBorders>
          <w:left w:val="nil"/>
          <w:right w:val="nil"/>
          <w:insideH w:val="nil"/>
          <w:insideV w:val="nil"/>
        </w:tcBorders>
        <w:shd w:val="clear" w:color="auto" w:fill="206E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rsid w:val="00E652DB"/>
    <w:pPr>
      <w:spacing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unhideWhenUsed/>
    <w:qFormat/>
    <w:rsid w:val="00E652DB"/>
    <w:pPr>
      <w:spacing w:before="200" w:after="160"/>
      <w:jc w:val="center"/>
    </w:pPr>
    <w:rPr>
      <w:i/>
      <w:iCs/>
      <w:color w:val="404040" w:themeColor="text1" w:themeTint="BF"/>
    </w:rPr>
  </w:style>
  <w:style w:type="character" w:customStyle="1" w:styleId="QuoteChar">
    <w:name w:val="Quote Char"/>
    <w:basedOn w:val="DefaultParagraphFont"/>
    <w:link w:val="Quote"/>
    <w:uiPriority w:val="29"/>
    <w:rsid w:val="00E652DB"/>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unhideWhenUsed/>
    <w:qFormat/>
    <w:rsid w:val="00E652DB"/>
    <w:rPr>
      <w:i/>
      <w:iCs/>
      <w:color w:val="404040" w:themeColor="text1" w:themeTint="BF"/>
    </w:rPr>
  </w:style>
  <w:style w:type="character" w:styleId="SubtleReference">
    <w:name w:val="Subtle Reference"/>
    <w:basedOn w:val="DefaultParagraphFont"/>
    <w:uiPriority w:val="31"/>
    <w:unhideWhenUsed/>
    <w:qFormat/>
    <w:rsid w:val="00E652DB"/>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DefaultParagraphFont"/>
    <w:uiPriority w:val="99"/>
    <w:unhideWhenUsed/>
    <w:rsid w:val="00F131F3"/>
    <w:rPr>
      <w:color w:val="605E5C"/>
      <w:shd w:val="clear" w:color="auto" w:fill="E1DFDD"/>
    </w:rPr>
  </w:style>
  <w:style w:type="character" w:customStyle="1" w:styleId="Mention">
    <w:name w:val="Mention"/>
    <w:basedOn w:val="DefaultParagraphFont"/>
    <w:uiPriority w:val="99"/>
    <w:unhideWhenUsed/>
    <w:rsid w:val="002644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Win32TaT">
  <a:themeElements>
    <a:clrScheme name="Global Symbols">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06EB5"/>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2019-05-17T20:50:00Z</dcterms:created>
  <dcterms:modified xsi:type="dcterms:W3CDTF">2019-05-19T09:48:00Z</dcterms:modified>
</cp:coreProperties>
</file>